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eastAsia" w:ascii="黑体" w:hAnsi="华文中宋" w:eastAsia="黑体"/>
          <w:bCs/>
          <w:w w:val="90"/>
          <w:sz w:val="44"/>
          <w:szCs w:val="44"/>
        </w:rPr>
      </w:pPr>
      <w:r>
        <w:rPr>
          <w:rFonts w:hint="eastAsia" w:ascii="黑体" w:hAnsi="华文中宋" w:eastAsia="黑体"/>
          <w:bCs/>
          <w:w w:val="90"/>
          <w:sz w:val="44"/>
          <w:szCs w:val="44"/>
        </w:rPr>
        <w:t>武汉工程大学邮电与信息工程学院</w:t>
      </w:r>
    </w:p>
    <w:p>
      <w:pPr>
        <w:spacing w:line="1200" w:lineRule="exact"/>
        <w:jc w:val="center"/>
        <w:rPr>
          <w:rFonts w:hint="eastAsia" w:ascii="黑体" w:hAnsi="黑体" w:eastAsia="黑体" w:cs="黑体"/>
          <w:bCs/>
          <w:w w:val="90"/>
          <w:sz w:val="44"/>
          <w:szCs w:val="44"/>
        </w:rPr>
      </w:pPr>
      <w:r>
        <w:rPr>
          <w:rFonts w:hint="eastAsia" w:ascii="黑体" w:hAnsi="华文中宋" w:eastAsia="黑体"/>
          <w:bCs/>
          <w:w w:val="90"/>
          <w:sz w:val="44"/>
          <w:szCs w:val="44"/>
        </w:rPr>
        <w:t>****年度</w:t>
      </w:r>
      <w:r>
        <w:rPr>
          <w:rFonts w:hint="eastAsia" w:ascii="黑体" w:hAnsi="黑体" w:eastAsia="黑体" w:cs="黑体"/>
          <w:sz w:val="44"/>
          <w:szCs w:val="44"/>
        </w:rPr>
        <w:t>教师团队评价打分表</w:t>
      </w:r>
    </w:p>
    <w:p>
      <w:pPr>
        <w:jc w:val="center"/>
        <w:rPr>
          <w:rFonts w:hint="eastAsia"/>
        </w:rPr>
      </w:pPr>
    </w:p>
    <w:p>
      <w:pPr>
        <w:jc w:val="center"/>
        <w:rPr>
          <w:rFonts w:hint="eastAsia"/>
          <w:sz w:val="28"/>
        </w:rPr>
      </w:pPr>
    </w:p>
    <w:p>
      <w:pPr>
        <w:jc w:val="center"/>
        <w:rPr>
          <w:rFonts w:hint="eastAsia"/>
          <w:sz w:val="28"/>
        </w:rPr>
      </w:pPr>
    </w:p>
    <w:p>
      <w:pPr>
        <w:jc w:val="center"/>
        <w:rPr>
          <w:rFonts w:hint="eastAsia"/>
          <w:sz w:val="28"/>
        </w:rPr>
      </w:pPr>
    </w:p>
    <w:p>
      <w:pPr>
        <w:jc w:val="both"/>
        <w:rPr>
          <w:rFonts w:hint="eastAsia"/>
          <w:sz w:val="28"/>
        </w:rPr>
      </w:pPr>
    </w:p>
    <w:p>
      <w:pPr>
        <w:spacing w:line="560" w:lineRule="atLeast"/>
        <w:ind w:firstLine="560" w:firstLineChars="200"/>
        <w:rPr>
          <w:rFonts w:hint="eastAsia"/>
          <w:sz w:val="28"/>
        </w:rPr>
      </w:pPr>
      <w:r>
        <w:rPr>
          <w:rFonts w:hint="eastAsia"/>
          <w:sz w:val="28"/>
          <w:lang w:eastAsia="zh-CN"/>
        </w:rPr>
        <w:t>团队</w:t>
      </w:r>
      <w:r>
        <w:rPr>
          <w:rFonts w:hint="eastAsia"/>
          <w:sz w:val="28"/>
        </w:rPr>
        <w:t xml:space="preserve">名称  ：  </w:t>
      </w:r>
      <w:r>
        <w:rPr>
          <w:rFonts w:hint="eastAsia"/>
          <w:sz w:val="28"/>
          <w:u w:val="single"/>
        </w:rPr>
        <w:t xml:space="preserve">                                        </w:t>
      </w:r>
    </w:p>
    <w:p>
      <w:pPr>
        <w:spacing w:line="560" w:lineRule="atLeast"/>
        <w:ind w:firstLine="560" w:firstLineChars="200"/>
        <w:rPr>
          <w:rFonts w:hint="eastAsia"/>
          <w:sz w:val="28"/>
          <w:u w:val="single"/>
        </w:rPr>
      </w:pPr>
      <w:r>
        <w:rPr>
          <w:rFonts w:hint="eastAsia"/>
          <w:sz w:val="28"/>
          <w:lang w:eastAsia="zh-CN"/>
        </w:rPr>
        <w:t>团队</w:t>
      </w:r>
      <w:r>
        <w:rPr>
          <w:rFonts w:hint="eastAsia"/>
          <w:sz w:val="28"/>
        </w:rPr>
        <w:t xml:space="preserve">负责人：  </w:t>
      </w:r>
      <w:r>
        <w:rPr>
          <w:rFonts w:hint="eastAsia"/>
          <w:sz w:val="28"/>
          <w:u w:val="single"/>
        </w:rPr>
        <w:t xml:space="preserve">                                        </w:t>
      </w:r>
    </w:p>
    <w:p>
      <w:pPr>
        <w:spacing w:line="560" w:lineRule="atLeast"/>
        <w:ind w:firstLine="560" w:firstLineChars="200"/>
        <w:rPr>
          <w:rFonts w:hint="default" w:eastAsia="仿宋_GB2312"/>
          <w:sz w:val="28"/>
          <w:u w:val="single"/>
          <w:lang w:val="en-US" w:eastAsia="zh-CN"/>
        </w:rPr>
      </w:pPr>
      <w:r>
        <w:rPr>
          <w:rFonts w:hint="eastAsia"/>
          <w:sz w:val="28"/>
          <w:u w:val="none"/>
          <w:lang w:eastAsia="zh-CN"/>
        </w:rPr>
        <w:t>团队成员</w:t>
      </w:r>
      <w:r>
        <w:rPr>
          <w:rFonts w:hint="eastAsia"/>
          <w:sz w:val="28"/>
          <w:u w:val="none"/>
          <w:lang w:val="en-US" w:eastAsia="zh-CN"/>
        </w:rPr>
        <w:t xml:space="preserve">  </w:t>
      </w:r>
      <w:r>
        <w:rPr>
          <w:rFonts w:hint="eastAsia"/>
          <w:sz w:val="28"/>
          <w:u w:val="none"/>
          <w:lang w:eastAsia="zh-CN"/>
        </w:rPr>
        <w:t>：</w:t>
      </w:r>
      <w:r>
        <w:rPr>
          <w:rFonts w:hint="eastAsia"/>
          <w:sz w:val="28"/>
          <w:u w:val="none"/>
          <w:lang w:val="en-US" w:eastAsia="zh-CN"/>
        </w:rPr>
        <w:t xml:space="preserve">  </w:t>
      </w:r>
      <w:r>
        <w:rPr>
          <w:rFonts w:hint="eastAsia"/>
          <w:sz w:val="28"/>
          <w:u w:val="single"/>
          <w:lang w:val="en-US" w:eastAsia="zh-CN"/>
        </w:rPr>
        <w:t xml:space="preserve">                                        </w:t>
      </w:r>
    </w:p>
    <w:p>
      <w:pPr>
        <w:spacing w:line="360" w:lineRule="auto"/>
        <w:ind w:firstLine="560" w:firstLineChars="200"/>
        <w:rPr>
          <w:rFonts w:hint="eastAsia"/>
          <w:sz w:val="30"/>
        </w:rPr>
      </w:pPr>
      <w:r>
        <w:rPr>
          <w:rFonts w:hint="eastAsia"/>
          <w:sz w:val="28"/>
        </w:rPr>
        <w:t>起 止  时 间：</w:t>
      </w:r>
      <w:r>
        <w:rPr>
          <w:rFonts w:hint="eastAsia"/>
          <w:sz w:val="30"/>
          <w:u w:val="single"/>
        </w:rPr>
        <w:t xml:space="preserve">     20   年   月至20   年   月      </w:t>
      </w:r>
    </w:p>
    <w:p>
      <w:pPr>
        <w:spacing w:line="520" w:lineRule="exact"/>
        <w:rPr>
          <w:rFonts w:hint="eastAsia"/>
          <w:sz w:val="28"/>
        </w:rPr>
      </w:pPr>
    </w:p>
    <w:p>
      <w:pPr>
        <w:spacing w:line="520" w:lineRule="exact"/>
        <w:rPr>
          <w:rFonts w:hint="eastAsia"/>
          <w:sz w:val="28"/>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napToGrid w:val="0"/>
        <w:spacing w:line="600" w:lineRule="exact"/>
        <w:jc w:val="center"/>
        <w:rPr>
          <w:rFonts w:hint="eastAsia" w:ascii="仿宋_GB2312" w:eastAsia="仿宋_GB2312"/>
          <w:sz w:val="32"/>
          <w:szCs w:val="32"/>
        </w:rPr>
      </w:pPr>
      <w:r>
        <w:rPr>
          <w:rFonts w:hint="eastAsia" w:ascii="仿宋_GB2312" w:eastAsia="仿宋_GB2312"/>
          <w:sz w:val="32"/>
          <w:szCs w:val="32"/>
        </w:rPr>
        <w:t>二○     年   月   日</w:t>
      </w:r>
    </w:p>
    <w:p>
      <w:pPr>
        <w:snapToGrid w:val="0"/>
        <w:spacing w:line="600" w:lineRule="exact"/>
        <w:jc w:val="center"/>
        <w:rPr>
          <w:rFonts w:ascii="仿宋_GB2312"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仿宋_GB2312" w:eastAsia="仿宋_GB2312"/>
          <w:sz w:val="32"/>
          <w:szCs w:val="32"/>
        </w:rPr>
        <w:t>武汉工程大学邮电与信息工程学院制</w:t>
      </w:r>
    </w:p>
    <w:tbl>
      <w:tblPr>
        <w:tblStyle w:val="4"/>
        <w:tblW w:w="5530" w:type="pct"/>
        <w:jc w:val="center"/>
        <w:tblLayout w:type="fixed"/>
        <w:tblCellMar>
          <w:top w:w="0" w:type="dxa"/>
          <w:left w:w="108" w:type="dxa"/>
          <w:bottom w:w="0" w:type="dxa"/>
          <w:right w:w="108" w:type="dxa"/>
        </w:tblCellMar>
      </w:tblPr>
      <w:tblGrid>
        <w:gridCol w:w="1758"/>
        <w:gridCol w:w="1407"/>
        <w:gridCol w:w="2436"/>
        <w:gridCol w:w="1275"/>
        <w:gridCol w:w="1275"/>
        <w:gridCol w:w="1275"/>
      </w:tblGrid>
      <w:tr>
        <w:tblPrEx>
          <w:tblCellMar>
            <w:top w:w="0" w:type="dxa"/>
            <w:left w:w="108" w:type="dxa"/>
            <w:bottom w:w="0" w:type="dxa"/>
            <w:right w:w="108" w:type="dxa"/>
          </w:tblCellMar>
        </w:tblPrEx>
        <w:trPr>
          <w:trHeight w:val="376" w:hRule="atLeast"/>
          <w:jc w:val="center"/>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单位分值</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目标任务</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完成情况</w:t>
            </w:r>
          </w:p>
        </w:tc>
      </w:tr>
      <w:tr>
        <w:tblPrEx>
          <w:tblCellMar>
            <w:top w:w="0" w:type="dxa"/>
            <w:left w:w="108" w:type="dxa"/>
            <w:bottom w:w="0" w:type="dxa"/>
            <w:right w:w="108" w:type="dxa"/>
          </w:tblCellMar>
        </w:tblPrEx>
        <w:trPr>
          <w:trHeight w:val="376" w:hRule="atLeast"/>
          <w:jc w:val="center"/>
        </w:trPr>
        <w:tc>
          <w:tcPr>
            <w:tcW w:w="932"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教学、科研项目</w:t>
            </w: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部级</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地厅级</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科研进账</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2分/万元</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pacing w:val="-4"/>
                <w:kern w:val="0"/>
                <w:sz w:val="22"/>
                <w:szCs w:val="22"/>
                <w:u w:val="none"/>
                <w:lang w:val="en-US" w:eastAsia="zh-CN" w:bidi="ar"/>
              </w:rPr>
            </w:pPr>
            <w:r>
              <w:rPr>
                <w:rFonts w:hint="eastAsia" w:ascii="宋体" w:hAnsi="宋体" w:eastAsia="宋体" w:cs="宋体"/>
                <w:i w:val="0"/>
                <w:iCs w:val="0"/>
                <w:color w:val="000000"/>
                <w:spacing w:val="-4"/>
                <w:kern w:val="0"/>
                <w:sz w:val="22"/>
                <w:szCs w:val="22"/>
                <w:u w:val="none"/>
                <w:lang w:val="en-US" w:eastAsia="zh-CN" w:bidi="ar"/>
              </w:rPr>
              <w:t>发明专利</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pacing w:val="-4"/>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pacing w:val="-4"/>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软件著作权、实用新型</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pacing w:val="-4"/>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pacing w:val="-4"/>
                <w:kern w:val="0"/>
                <w:sz w:val="22"/>
                <w:szCs w:val="22"/>
                <w:highlight w:val="none"/>
                <w:u w:val="none"/>
                <w:shd w:val="clear" w:color="auto" w:fill="auto"/>
                <w:lang w:val="en-US" w:eastAsia="zh-CN" w:bidi="ar"/>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外观</w:t>
            </w:r>
            <w:r>
              <w:rPr>
                <w:rFonts w:hint="eastAsia" w:ascii="宋体" w:hAnsi="宋体" w:cs="宋体"/>
                <w:i w:val="0"/>
                <w:iCs w:val="0"/>
                <w:color w:val="000000"/>
                <w:kern w:val="0"/>
                <w:sz w:val="22"/>
                <w:szCs w:val="22"/>
                <w:highlight w:val="none"/>
                <w:u w:val="none"/>
                <w:shd w:val="clear" w:color="auto" w:fill="auto"/>
                <w:lang w:val="en-US" w:eastAsia="zh-CN" w:bidi="ar"/>
              </w:rPr>
              <w:t>专利</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pacing w:val="-4"/>
                <w:kern w:val="0"/>
                <w:sz w:val="22"/>
                <w:szCs w:val="22"/>
                <w:highlight w:val="none"/>
                <w:u w:val="none"/>
                <w:shd w:val="clear" w:color="auto" w:fill="auto"/>
                <w:lang w:val="en-US" w:eastAsia="zh-CN" w:bidi="ar"/>
              </w:rPr>
            </w:pPr>
            <w:r>
              <w:rPr>
                <w:rFonts w:hint="eastAsia" w:ascii="宋体" w:hAnsi="宋体" w:cs="宋体"/>
                <w:i w:val="0"/>
                <w:iCs w:val="0"/>
                <w:color w:val="000000"/>
                <w:kern w:val="0"/>
                <w:sz w:val="22"/>
                <w:szCs w:val="22"/>
                <w:highlight w:val="none"/>
                <w:u w:val="none"/>
                <w:shd w:val="clear" w:color="auto" w:fill="auto"/>
                <w:lang w:val="en-US" w:eastAsia="zh-CN" w:bidi="ar"/>
              </w:rPr>
              <w:t>4</w:t>
            </w:r>
            <w:r>
              <w:rPr>
                <w:rFonts w:hint="eastAsia" w:ascii="宋体" w:hAnsi="宋体" w:eastAsia="宋体" w:cs="宋体"/>
                <w:i w:val="0"/>
                <w:iCs w:val="0"/>
                <w:color w:val="000000"/>
                <w:kern w:val="0"/>
                <w:sz w:val="22"/>
                <w:szCs w:val="22"/>
                <w:highlight w:val="none"/>
                <w:u w:val="none"/>
                <w:shd w:val="clear" w:color="auto" w:fill="auto"/>
                <w:lang w:val="en-US" w:eastAsia="zh-CN" w:bidi="ar"/>
              </w:rPr>
              <w:t>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SCI一区/SSCI一区/CSSCI权威</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50分/篇</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SCI二区/SSCI二区/CSSCI自科社科</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40分/篇</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SCI三区/SSCI三区/CSSCI/北大核心</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30分/篇</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SCI四区/EI</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20分/篇</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普刊</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10分/篇</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教育、科研奖励</w:t>
            </w:r>
          </w:p>
        </w:tc>
        <w:tc>
          <w:tcPr>
            <w:tcW w:w="7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省部级</w:t>
            </w: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地厅级</w:t>
            </w: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学科竞赛</w:t>
            </w:r>
          </w:p>
        </w:tc>
        <w:tc>
          <w:tcPr>
            <w:tcW w:w="7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24</w:t>
            </w:r>
            <w:r>
              <w:rPr>
                <w:rFonts w:hint="eastAsia" w:ascii="宋体" w:hAnsi="宋体" w:eastAsia="宋体" w:cs="宋体"/>
                <w:i w:val="0"/>
                <w:iCs w:val="0"/>
                <w:color w:val="000000"/>
                <w:kern w:val="0"/>
                <w:sz w:val="22"/>
                <w:szCs w:val="22"/>
                <w:u w:val="none"/>
                <w:lang w:val="en-US" w:eastAsia="zh-CN" w:bidi="ar"/>
              </w:rPr>
              <w:t>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省部级</w:t>
            </w: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协会级</w:t>
            </w: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质量工程</w:t>
            </w: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国家级一流专业</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省级一流专业</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省级金课</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40分/项</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76" w:hRule="atLeast"/>
          <w:jc w:val="center"/>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教材（著作）</w:t>
            </w:r>
          </w:p>
        </w:tc>
        <w:tc>
          <w:tcPr>
            <w:tcW w:w="203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教材、著作</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50分/部</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spacing w:line="480" w:lineRule="auto"/>
        <w:rPr>
          <w:rFonts w:hint="eastAsia"/>
          <w:sz w:val="24"/>
          <w:szCs w:val="24"/>
        </w:rPr>
      </w:pPr>
      <w:r>
        <w:rPr>
          <w:rFonts w:hint="eastAsia"/>
          <w:sz w:val="24"/>
          <w:szCs w:val="24"/>
        </w:rPr>
        <w:t>测评说明：</w:t>
      </w:r>
    </w:p>
    <w:p>
      <w:pPr>
        <w:spacing w:line="480" w:lineRule="auto"/>
        <w:rPr>
          <w:rFonts w:hint="eastAsia"/>
          <w:sz w:val="24"/>
          <w:szCs w:val="24"/>
        </w:rPr>
      </w:pPr>
      <w:r>
        <w:rPr>
          <w:rFonts w:hint="eastAsia"/>
          <w:sz w:val="24"/>
          <w:szCs w:val="24"/>
        </w:rPr>
        <w:t>1.关于科研项目级别认定的说明</w:t>
      </w:r>
    </w:p>
    <w:p>
      <w:pPr>
        <w:spacing w:line="480" w:lineRule="auto"/>
        <w:rPr>
          <w:rFonts w:hint="eastAsia"/>
          <w:sz w:val="24"/>
          <w:szCs w:val="24"/>
        </w:rPr>
      </w:pPr>
      <w:r>
        <w:rPr>
          <w:rFonts w:hint="eastAsia"/>
          <w:sz w:val="24"/>
          <w:szCs w:val="24"/>
        </w:rPr>
        <w:t>（1）国家级课题：国家社会科学基金，国家自然科学基金，全国教育科学规划课题中的国家课题，全国艺术科学规划课题中的国家课题；国家科技部、国家发展和改革委员会、国家工业和信息化部的课题、教育部人文社科研究重点课题。</w:t>
      </w:r>
    </w:p>
    <w:p>
      <w:pPr>
        <w:spacing w:line="480" w:lineRule="auto"/>
        <w:rPr>
          <w:rFonts w:hint="eastAsia"/>
          <w:sz w:val="24"/>
          <w:szCs w:val="24"/>
        </w:rPr>
      </w:pPr>
      <w:r>
        <w:rPr>
          <w:rFonts w:hint="eastAsia"/>
          <w:sz w:val="24"/>
          <w:szCs w:val="24"/>
        </w:rPr>
        <w:t>（2）部级课题：教育部人文社科研究一般课题，中国博士后基金课题，教育部其他课题和国家相关部委的课题；全国教育科学规划课题中的教育部及其他部委课题，全国艺术科学规划课题中的文化部课题。</w:t>
      </w:r>
    </w:p>
    <w:p>
      <w:pPr>
        <w:spacing w:line="480" w:lineRule="auto"/>
        <w:rPr>
          <w:rFonts w:hint="eastAsia"/>
          <w:sz w:val="24"/>
          <w:szCs w:val="24"/>
        </w:rPr>
      </w:pPr>
      <w:r>
        <w:rPr>
          <w:rFonts w:hint="eastAsia"/>
          <w:sz w:val="24"/>
          <w:szCs w:val="24"/>
        </w:rPr>
        <w:t>（3）省级课题：省社会科学基金，省科技厅课题，省教育科学规划重点课题，省艺术科学规划重点课题，省高等教育教学改革课题，省经济社会发展重点研究课题（省社科联）。</w:t>
      </w:r>
      <w:bookmarkStart w:id="0" w:name="_GoBack"/>
      <w:bookmarkEnd w:id="0"/>
    </w:p>
    <w:p>
      <w:pPr>
        <w:spacing w:line="480" w:lineRule="auto"/>
        <w:rPr>
          <w:rFonts w:hint="eastAsia"/>
          <w:sz w:val="24"/>
          <w:szCs w:val="24"/>
        </w:rPr>
      </w:pPr>
      <w:r>
        <w:rPr>
          <w:rFonts w:hint="eastAsia"/>
          <w:sz w:val="24"/>
          <w:szCs w:val="24"/>
        </w:rPr>
        <w:t>（4）地厅级课题：</w:t>
      </w:r>
      <w:r>
        <w:rPr>
          <w:rFonts w:hint="eastAsia"/>
          <w:sz w:val="24"/>
          <w:szCs w:val="24"/>
          <w:lang w:eastAsia="zh-CN"/>
        </w:rPr>
        <w:t>教育部协同育人项目，</w:t>
      </w:r>
      <w:r>
        <w:rPr>
          <w:rFonts w:hint="eastAsia"/>
          <w:sz w:val="24"/>
          <w:szCs w:val="24"/>
        </w:rPr>
        <w:t>省社科联其他课题（包括资助项目），省教育科学规划一般课题，省艺术科学规划一般课题，省教育厅人文社会科学研究课题，省博士后基金课题，其他厅级单位（科技厅除外）立项的课题；市科技计划课题，市社会科学课题。</w:t>
      </w:r>
    </w:p>
    <w:p>
      <w:pPr>
        <w:spacing w:line="480" w:lineRule="auto"/>
        <w:rPr>
          <w:rFonts w:hint="eastAsia"/>
          <w:sz w:val="24"/>
          <w:szCs w:val="24"/>
        </w:rPr>
      </w:pPr>
      <w:r>
        <w:rPr>
          <w:rFonts w:hint="eastAsia"/>
          <w:sz w:val="24"/>
          <w:szCs w:val="24"/>
        </w:rPr>
        <w:t>（5）各类课题的子课题（或二级），按相应级别的下一级别认定。</w:t>
      </w:r>
    </w:p>
    <w:p>
      <w:pPr>
        <w:spacing w:line="480" w:lineRule="auto"/>
        <w:rPr>
          <w:rFonts w:hint="eastAsia"/>
          <w:sz w:val="24"/>
          <w:szCs w:val="24"/>
        </w:rPr>
      </w:pPr>
      <w:r>
        <w:rPr>
          <w:rFonts w:hint="eastAsia"/>
          <w:sz w:val="24"/>
          <w:szCs w:val="24"/>
        </w:rPr>
        <w:t>（6）教科研项目以立项为准。</w:t>
      </w:r>
    </w:p>
    <w:p>
      <w:pPr>
        <w:spacing w:line="480" w:lineRule="auto"/>
        <w:rPr>
          <w:rFonts w:hint="eastAsia"/>
          <w:sz w:val="24"/>
          <w:szCs w:val="24"/>
        </w:rPr>
      </w:pPr>
      <w:r>
        <w:rPr>
          <w:rFonts w:hint="eastAsia"/>
          <w:sz w:val="24"/>
          <w:szCs w:val="24"/>
        </w:rPr>
        <w:t>2.奖励等级原则上按荣誉证书或行文表彰的单位印鉴级别确定，国家级需有教育部、科技部等上级部门印章，省级需有省教育厅、省科技厅等省级机关及以上单位印章。教学、科研类奖励分值以武汉工程大学邮电与信息工程学院为第一完成单位计算，若为第二或第三完成单位，分值分别按相应等级标准的50%和25%计算。</w:t>
      </w:r>
    </w:p>
    <w:p>
      <w:pPr>
        <w:spacing w:line="480" w:lineRule="auto"/>
        <w:rPr>
          <w:rFonts w:hint="eastAsia"/>
          <w:sz w:val="24"/>
          <w:szCs w:val="24"/>
        </w:rPr>
      </w:pPr>
      <w:r>
        <w:rPr>
          <w:rFonts w:hint="eastAsia"/>
          <w:sz w:val="24"/>
          <w:szCs w:val="24"/>
        </w:rPr>
        <w:t>3. “学科竞赛”国家级指中国高等教育学会公布的A类学科竞赛的全国赛，省部级指A类项目的赛区赛和其他省教育厅组织或委托下属协会举办的赛事。</w:t>
      </w:r>
    </w:p>
    <w:p>
      <w:pPr>
        <w:spacing w:line="480" w:lineRule="auto"/>
        <w:rPr>
          <w:rFonts w:hint="eastAsia"/>
          <w:sz w:val="24"/>
          <w:szCs w:val="24"/>
        </w:rPr>
      </w:pPr>
      <w:r>
        <w:rPr>
          <w:rFonts w:hint="eastAsia"/>
          <w:sz w:val="24"/>
          <w:szCs w:val="24"/>
        </w:rPr>
        <w:t>4.论文中SCI、EI、SSCI、CSSCI需要提供有资质的检索部门收录证明，北大中文期刊以当年度期刊目录为准。</w:t>
      </w:r>
    </w:p>
    <w:p>
      <w:pPr>
        <w:spacing w:line="480" w:lineRule="auto"/>
        <w:rPr>
          <w:rFonts w:hint="eastAsia"/>
          <w:sz w:val="24"/>
          <w:szCs w:val="24"/>
          <w:lang w:eastAsia="zh-CN"/>
        </w:rPr>
      </w:pPr>
      <w:r>
        <w:rPr>
          <w:rFonts w:hint="eastAsia"/>
          <w:sz w:val="24"/>
          <w:szCs w:val="24"/>
        </w:rPr>
        <w:t>5.发表论文、专著、教材要求公开出版发行，有正规书刊号，且必须为第一作（著、编）者或第一（唯一）通讯作者，学术专著类</w:t>
      </w:r>
      <w:r>
        <w:rPr>
          <w:rFonts w:hint="eastAsia"/>
          <w:sz w:val="24"/>
          <w:szCs w:val="24"/>
          <w:lang w:eastAsia="zh-CN"/>
        </w:rPr>
        <w:t>。</w:t>
      </w:r>
    </w:p>
    <w:p>
      <w:pPr>
        <w:spacing w:line="480" w:lineRule="auto"/>
        <w:rPr>
          <w:rFonts w:hint="eastAsia"/>
          <w:sz w:val="24"/>
          <w:szCs w:val="24"/>
          <w:lang w:val="en-US" w:eastAsia="zh-CN"/>
        </w:rPr>
      </w:pPr>
      <w:r>
        <w:rPr>
          <w:rFonts w:hint="eastAsia"/>
          <w:sz w:val="24"/>
          <w:szCs w:val="24"/>
          <w:lang w:val="en-US" w:eastAsia="zh-CN"/>
        </w:rPr>
        <w:t>6.科研入账以财务部门的入账凭据为依据。</w:t>
      </w:r>
    </w:p>
    <w:p>
      <w:pPr>
        <w:spacing w:line="480" w:lineRule="auto"/>
        <w:rPr>
          <w:rFonts w:hint="eastAsia"/>
          <w:sz w:val="24"/>
          <w:szCs w:val="24"/>
          <w:lang w:val="en-US" w:eastAsia="zh-CN"/>
        </w:rPr>
      </w:pPr>
      <w:r>
        <w:rPr>
          <w:rFonts w:hint="eastAsia"/>
          <w:sz w:val="24"/>
          <w:szCs w:val="24"/>
          <w:lang w:val="en-US" w:eastAsia="zh-CN"/>
        </w:rPr>
        <w:t>7.质量工程项目以教务部的认定为依据。</w:t>
      </w:r>
    </w:p>
    <w:p>
      <w:pPr>
        <w:spacing w:line="480" w:lineRule="auto"/>
        <w:rPr>
          <w:rFonts w:hint="eastAsia"/>
          <w:sz w:val="24"/>
          <w:szCs w:val="24"/>
          <w:lang w:val="en-US" w:eastAsia="zh-CN"/>
        </w:rPr>
      </w:pPr>
      <w:r>
        <w:rPr>
          <w:rFonts w:hint="eastAsia"/>
          <w:sz w:val="24"/>
          <w:szCs w:val="24"/>
          <w:lang w:val="en-US" w:eastAsia="zh-CN"/>
        </w:rPr>
        <w:t>8.表中除经学院批准访学进修期间所发表的论文，只需有武汉工程大学邮电与信息工程学院署名外，其他业绩均应以武汉工程大学邮电与信息工程学院为第一单位署名。</w:t>
      </w:r>
    </w:p>
    <w:p>
      <w:pPr>
        <w:spacing w:line="480" w:lineRule="auto"/>
        <w:rPr>
          <w:rFonts w:hint="eastAsia"/>
          <w:sz w:val="24"/>
          <w:szCs w:val="24"/>
          <w:lang w:val="en-US" w:eastAsia="zh-CN"/>
        </w:rPr>
      </w:pPr>
      <w:r>
        <w:rPr>
          <w:rFonts w:hint="eastAsia"/>
          <w:sz w:val="24"/>
          <w:szCs w:val="24"/>
          <w:lang w:val="en-US" w:eastAsia="zh-CN"/>
        </w:rPr>
        <w:t>9.全国体育科学大会、全国学校体育科学大会、全国大学生运动会会议论文等同于</w:t>
      </w:r>
      <w:r>
        <w:rPr>
          <w:rFonts w:hint="eastAsia" w:ascii="宋体" w:hAnsi="宋体" w:eastAsia="宋体" w:cs="宋体"/>
          <w:i w:val="0"/>
          <w:iCs w:val="0"/>
          <w:color w:val="000000"/>
          <w:kern w:val="0"/>
          <w:sz w:val="22"/>
          <w:szCs w:val="22"/>
          <w:u w:val="none"/>
          <w:lang w:val="en-US" w:eastAsia="zh-CN" w:bidi="ar"/>
        </w:rPr>
        <w:t>SCI四区</w:t>
      </w:r>
      <w:r>
        <w:rPr>
          <w:rFonts w:hint="eastAsia"/>
          <w:sz w:val="24"/>
          <w:szCs w:val="24"/>
          <w:lang w:val="en-US" w:eastAsia="zh-CN"/>
        </w:rPr>
        <w:t>文章使用。</w:t>
      </w:r>
    </w:p>
    <w:p>
      <w:pPr>
        <w:spacing w:line="480" w:lineRule="auto"/>
        <w:rPr>
          <w:rFonts w:hint="default"/>
          <w:sz w:val="24"/>
          <w:szCs w:val="24"/>
          <w:lang w:val="en-US" w:eastAsia="zh-CN"/>
        </w:rPr>
      </w:pPr>
      <w:r>
        <w:rPr>
          <w:rFonts w:hint="eastAsia"/>
          <w:sz w:val="24"/>
          <w:szCs w:val="24"/>
          <w:lang w:val="en-US" w:eastAsia="zh-CN"/>
        </w:rPr>
        <w:t>10.体育竞赛按照第1名一等奖，第2名二等奖，3-8名三等奖的认定模式。</w:t>
      </w:r>
    </w:p>
    <w:p>
      <w:pPr>
        <w:spacing w:line="480" w:lineRule="auto"/>
        <w:rPr>
          <w:rFonts w:hint="eastAsia"/>
          <w:sz w:val="24"/>
          <w:szCs w:val="24"/>
          <w:lang w:val="en-US" w:eastAsia="zh-CN"/>
        </w:rPr>
      </w:pPr>
      <w:r>
        <w:rPr>
          <w:rFonts w:hint="eastAsia"/>
          <w:sz w:val="24"/>
          <w:szCs w:val="24"/>
          <w:lang w:val="en-US" w:eastAsia="zh-CN"/>
        </w:rPr>
        <w:t>11.表中的六大类考核内容，必须有三大类得分。</w:t>
      </w:r>
    </w:p>
    <w:p>
      <w:pPr>
        <w:spacing w:line="400" w:lineRule="atLeast"/>
        <w:rPr>
          <w:rFonts w:hint="eastAsia" w:ascii="黑体" w:eastAsia="黑体"/>
          <w:b/>
          <w:sz w:val="28"/>
        </w:rPr>
      </w:pPr>
      <w:r>
        <w:rPr>
          <w:rFonts w:hint="eastAsia"/>
          <w:sz w:val="24"/>
          <w:szCs w:val="24"/>
          <w:lang w:val="en-US" w:eastAsia="zh-CN"/>
        </w:rPr>
        <w:t>12.上述业绩有特殊情况或存在异议者，以校学术委员会认定为准。</w:t>
      </w:r>
    </w:p>
    <w:p>
      <w:pPr>
        <w:spacing w:line="400" w:lineRule="atLeast"/>
        <w:rPr>
          <w:rFonts w:hint="eastAsia" w:ascii="黑体" w:eastAsia="黑体"/>
          <w:b/>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956BD"/>
    <w:rsid w:val="01DE7948"/>
    <w:rsid w:val="17475BE6"/>
    <w:rsid w:val="18A402F8"/>
    <w:rsid w:val="1AFB44B0"/>
    <w:rsid w:val="2CA719D0"/>
    <w:rsid w:val="2D65744F"/>
    <w:rsid w:val="2ED0157B"/>
    <w:rsid w:val="3EF956BD"/>
    <w:rsid w:val="5579070C"/>
    <w:rsid w:val="68FC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2022-04-13T06:57:00Z</dcterms:created>
  <dc:creator>admin</dc:creator>
  <cp:lastModifiedBy>admin</cp:lastModifiedBy>
  <dcterms:modified xsi:type="dcterms:W3CDTF">2022-05-19T08:05:01Z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F842EA6BD2314B55BD7F3C169349D3BC</vt:lpwstr>
  </property>
</Properties>
</file>